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E" w:rsidRDefault="004F7B7C" w:rsidP="00ED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53E" w:rsidRDefault="00ED153E" w:rsidP="00ED153E">
      <w:pPr>
        <w:pBdr>
          <w:bottom w:val="double" w:sz="40" w:space="2" w:color="000000"/>
        </w:pBdr>
        <w:rPr>
          <w:rFonts w:ascii="Arial Black" w:hAnsi="Arial Black"/>
          <w:b/>
          <w:color w:val="000000"/>
          <w:sz w:val="40"/>
          <w:szCs w:val="4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38100</wp:posOffset>
            </wp:positionV>
            <wp:extent cx="1412240" cy="102171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0000"/>
          <w:sz w:val="40"/>
          <w:szCs w:val="40"/>
        </w:rPr>
        <w:t>Компания Меркурий</w:t>
      </w:r>
    </w:p>
    <w:p w:rsidR="008E6311" w:rsidRDefault="00ED153E" w:rsidP="00AC44DF">
      <w:pPr>
        <w:tabs>
          <w:tab w:val="center" w:pos="5233"/>
          <w:tab w:val="right" w:pos="10466"/>
        </w:tabs>
        <w:ind w:left="2124"/>
      </w:pPr>
      <w:r>
        <w:t>Общество с ограниченной ответственностью «Компания Меркурий», Юридический адрес:</w:t>
      </w:r>
      <w:r w:rsidRPr="00DE08D2">
        <w:t>192289,</w:t>
      </w:r>
      <w:r>
        <w:t xml:space="preserve"> г. Санкт-Петербург, ул. Софийская, д. 80, лит</w:t>
      </w:r>
      <w:proofErr w:type="gramStart"/>
      <w:r>
        <w:t>.А</w:t>
      </w:r>
      <w:proofErr w:type="gramEnd"/>
      <w:r>
        <w:t>, 9Н.  ОГРН 1127847534660, ИНН 7816548179, КПП 781601001,</w:t>
      </w:r>
      <w:r w:rsidR="008E6311">
        <w:t xml:space="preserve"> </w:t>
      </w:r>
      <w:r w:rsidRPr="008E6311">
        <w:t xml:space="preserve"> </w:t>
      </w:r>
      <w:r>
        <w:t>тел</w:t>
      </w:r>
      <w:r w:rsidRPr="008E6311">
        <w:t>.: +7-812-313-06-29,</w:t>
      </w:r>
      <w:r w:rsidR="00AC44DF">
        <w:t>моб.:+7-921-784-66-92, +7-911-241-98-28</w:t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  <w:r w:rsidR="008E6311">
        <w:tab/>
      </w:r>
    </w:p>
    <w:p w:rsidR="00ED153E" w:rsidRDefault="00ED153E" w:rsidP="008E6311">
      <w:pPr>
        <w:tabs>
          <w:tab w:val="center" w:pos="5233"/>
          <w:tab w:val="right" w:pos="10466"/>
        </w:tabs>
        <w:ind w:left="2124"/>
      </w:pPr>
      <w:r w:rsidRPr="008E6311">
        <w:t xml:space="preserve"> </w:t>
      </w:r>
      <w:proofErr w:type="gramStart"/>
      <w:r>
        <w:rPr>
          <w:lang w:val="en-US"/>
        </w:rPr>
        <w:t>e</w:t>
      </w:r>
      <w:r w:rsidRPr="008E6311">
        <w:t>-</w:t>
      </w:r>
      <w:r>
        <w:rPr>
          <w:lang w:val="en-US"/>
        </w:rPr>
        <w:t>mail</w:t>
      </w:r>
      <w:proofErr w:type="gramEnd"/>
      <w:r w:rsidRPr="008E6311">
        <w:t xml:space="preserve">: </w:t>
      </w:r>
      <w:hyperlink r:id="rId5" w:history="1">
        <w:r w:rsidR="008E6311" w:rsidRPr="00EC206E">
          <w:rPr>
            <w:rStyle w:val="a5"/>
            <w:lang w:val="en-US"/>
          </w:rPr>
          <w:t>mercuryruscompany</w:t>
        </w:r>
        <w:r w:rsidR="008E6311" w:rsidRPr="008E6311">
          <w:rPr>
            <w:rStyle w:val="a5"/>
          </w:rPr>
          <w:t>@</w:t>
        </w:r>
        <w:r w:rsidR="008E6311" w:rsidRPr="00EC206E">
          <w:rPr>
            <w:rStyle w:val="a5"/>
            <w:lang w:val="en-US"/>
          </w:rPr>
          <w:t>gmail</w:t>
        </w:r>
        <w:r w:rsidR="008E6311" w:rsidRPr="008E6311">
          <w:rPr>
            <w:rStyle w:val="a5"/>
          </w:rPr>
          <w:t>.</w:t>
        </w:r>
        <w:r w:rsidR="008E6311" w:rsidRPr="00EC206E">
          <w:rPr>
            <w:rStyle w:val="a5"/>
            <w:lang w:val="en-US"/>
          </w:rPr>
          <w:t>com</w:t>
        </w:r>
      </w:hyperlink>
    </w:p>
    <w:p w:rsidR="00AC44DF" w:rsidRDefault="00AC44DF" w:rsidP="00AC44DF">
      <w:pPr>
        <w:rPr>
          <w:b/>
          <w:bCs/>
          <w:color w:val="000000"/>
        </w:rPr>
      </w:pPr>
      <w:r w:rsidRPr="00CB0F6F">
        <w:rPr>
          <w:b/>
          <w:bCs/>
          <w:color w:val="13191C"/>
        </w:rPr>
        <w:t>Наша компания оказывает помощь по любым вопросам в данной сфере! Многолетний опыт позволяет применять комплексный подход и выбирать оптимальное решение любых с</w:t>
      </w:r>
      <w:r w:rsidRPr="00CB0F6F">
        <w:rPr>
          <w:b/>
          <w:bCs/>
          <w:color w:val="000000"/>
        </w:rPr>
        <w:t>ложных задач на всей территории России.</w:t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="00A73DB1">
        <w:rPr>
          <w:b/>
          <w:bCs/>
          <w:color w:val="000000"/>
        </w:rPr>
        <w:tab/>
      </w:r>
      <w:r w:rsidRPr="00CB0F6F">
        <w:rPr>
          <w:b/>
          <w:bCs/>
          <w:color w:val="000000"/>
        </w:rPr>
        <w:t>Перечень видов деятельности:</w:t>
      </w:r>
    </w:p>
    <w:p w:rsidR="00AC44DF" w:rsidRPr="00CB0F6F" w:rsidRDefault="00AC44DF" w:rsidP="00AC44DF">
      <w:pPr>
        <w:rPr>
          <w:color w:val="000000"/>
        </w:rPr>
      </w:pPr>
      <w:r>
        <w:rPr>
          <w:b/>
          <w:bCs/>
          <w:color w:val="000000"/>
        </w:rPr>
        <w:tab/>
      </w:r>
      <w:r w:rsidRPr="00AC44DF">
        <w:rPr>
          <w:rStyle w:val="sdescr"/>
          <w:b/>
          <w:sz w:val="24"/>
          <w:szCs w:val="24"/>
        </w:rPr>
        <w:t>Проведение энергетических обследований и составление энергетических паспортов</w:t>
      </w:r>
      <w:r>
        <w:rPr>
          <w:rStyle w:val="sdescr"/>
        </w:rPr>
        <w:t>.</w:t>
      </w:r>
    </w:p>
    <w:p w:rsidR="00AC44DF" w:rsidRPr="00CB0F6F" w:rsidRDefault="00AC44DF" w:rsidP="00AC44DF">
      <w:pPr>
        <w:spacing w:before="100" w:beforeAutospacing="1" w:after="100" w:afterAutospacing="1"/>
        <w:ind w:left="720"/>
        <w:rPr>
          <w:color w:val="000000"/>
        </w:rPr>
      </w:pPr>
      <w:r w:rsidRPr="00CB0F6F">
        <w:rPr>
          <w:color w:val="000000"/>
        </w:rPr>
        <w:t>Получение лицензии на проведение экспертизы промышленной безопасности.</w:t>
      </w:r>
      <w:r>
        <w:rPr>
          <w:color w:val="000000"/>
        </w:rPr>
        <w:t xml:space="preserve">                                    </w:t>
      </w:r>
      <w:r w:rsidRPr="00CB0F6F">
        <w:rPr>
          <w:color w:val="000000"/>
        </w:rPr>
        <w:t xml:space="preserve">Регистрация </w:t>
      </w:r>
      <w:proofErr w:type="spellStart"/>
      <w:r w:rsidRPr="00CB0F6F">
        <w:rPr>
          <w:color w:val="000000"/>
        </w:rPr>
        <w:t>электролаборатории</w:t>
      </w:r>
      <w:proofErr w:type="spellEnd"/>
      <w:r w:rsidRPr="00CB0F6F">
        <w:rPr>
          <w:color w:val="000000"/>
        </w:rPr>
        <w:t xml:space="preserve"> </w:t>
      </w:r>
      <w:proofErr w:type="gramStart"/>
      <w:r w:rsidRPr="00CB0F6F">
        <w:rPr>
          <w:color w:val="000000"/>
        </w:rPr>
        <w:t>до</w:t>
      </w:r>
      <w:proofErr w:type="gramEnd"/>
      <w:r w:rsidRPr="00CB0F6F">
        <w:rPr>
          <w:color w:val="000000"/>
        </w:rPr>
        <w:t xml:space="preserve"> и свыше 1000 В.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</w:t>
      </w:r>
      <w:proofErr w:type="gramStart"/>
      <w:r w:rsidRPr="00CB0F6F">
        <w:rPr>
          <w:color w:val="000000"/>
        </w:rPr>
        <w:t>Получение</w:t>
      </w:r>
      <w:proofErr w:type="gramEnd"/>
      <w:r w:rsidRPr="00CB0F6F">
        <w:rPr>
          <w:color w:val="000000"/>
        </w:rPr>
        <w:t xml:space="preserve"> аккредитации лаборатории неразрушающего контроля.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        </w:t>
      </w:r>
      <w:r w:rsidRPr="00CB0F6F">
        <w:rPr>
          <w:color w:val="000000"/>
        </w:rPr>
        <w:t xml:space="preserve">Проведение экспертизы промышленной безопасности на объектах: нефтяной и газовой промышленности, объектах газораспределения и </w:t>
      </w:r>
      <w:proofErr w:type="spellStart"/>
      <w:r w:rsidRPr="00CB0F6F">
        <w:rPr>
          <w:color w:val="000000"/>
        </w:rPr>
        <w:t>газопотребления</w:t>
      </w:r>
      <w:proofErr w:type="spellEnd"/>
      <w:r w:rsidRPr="00CB0F6F">
        <w:rPr>
          <w:color w:val="000000"/>
        </w:rPr>
        <w:t xml:space="preserve"> котлонадзора, нефтехимии, горнорудной промышленности, металлургии, подъемных сооружений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</w:t>
      </w:r>
      <w:r w:rsidRPr="00CB0F6F">
        <w:rPr>
          <w:color w:val="000000"/>
        </w:rPr>
        <w:t>Услуги по выполнению испытаний и измерений электрооборудования и электроустановок напряжением до 1000 В.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</w:t>
      </w:r>
      <w:r w:rsidRPr="00CB0F6F">
        <w:rPr>
          <w:color w:val="000000"/>
        </w:rPr>
        <w:t xml:space="preserve">Услуги по проведению неразрушающего контроля на объектах котлонадзора, систем газоснабжения, подъемных сооружениях, объектах горнорудной промышленности, объектах угольной промышленности, оборудовании нефтяной и газовой промышленности, оборудовании металлургической промышленности, оборудовании взрывопожароопасных и химически опасных производств, зданиях и сооружениях, оборудовании </w:t>
      </w:r>
      <w:proofErr w:type="spellStart"/>
      <w:r w:rsidRPr="00CB0F6F">
        <w:rPr>
          <w:color w:val="000000"/>
        </w:rPr>
        <w:t>электроэнергетики</w:t>
      </w:r>
      <w:proofErr w:type="gramStart"/>
      <w:r w:rsidRPr="00CB0F6F">
        <w:rPr>
          <w:color w:val="000000"/>
        </w:rPr>
        <w:t>,С</w:t>
      </w:r>
      <w:proofErr w:type="gramEnd"/>
      <w:r w:rsidRPr="00CB0F6F">
        <w:rPr>
          <w:color w:val="000000"/>
        </w:rPr>
        <w:t>видетельство</w:t>
      </w:r>
      <w:proofErr w:type="spellEnd"/>
      <w:r w:rsidRPr="00CB0F6F">
        <w:rPr>
          <w:color w:val="000000"/>
        </w:rPr>
        <w:t xml:space="preserve"> Российского Морского Регистра Судоходства.. Лаборатория имеет аккредитацию на методы контроля: ВИК</w:t>
      </w:r>
      <w:proofErr w:type="gramStart"/>
      <w:r w:rsidRPr="00CB0F6F">
        <w:rPr>
          <w:color w:val="000000"/>
        </w:rPr>
        <w:t>,У</w:t>
      </w:r>
      <w:proofErr w:type="gramEnd"/>
      <w:r w:rsidRPr="00CB0F6F">
        <w:rPr>
          <w:color w:val="000000"/>
        </w:rPr>
        <w:t>ЗК, АЭ,ВД,МК,ТК,ВПК,ВПТ,ВК,ЭК.</w:t>
      </w:r>
    </w:p>
    <w:p w:rsidR="00AC44DF" w:rsidRPr="00CB0F6F" w:rsidRDefault="00AC44DF" w:rsidP="00AC44DF">
      <w:pPr>
        <w:rPr>
          <w:color w:val="000000"/>
        </w:rPr>
      </w:pPr>
      <w:r w:rsidRPr="00CB0F6F">
        <w:rPr>
          <w:b/>
          <w:bCs/>
          <w:color w:val="13191C"/>
        </w:rPr>
        <w:t>РАЗРЕШЕНИЕ НА ПРИМЕНЕНИЕ </w:t>
      </w:r>
      <w:r w:rsidRPr="00CB0F6F">
        <w:rPr>
          <w:color w:val="13191C"/>
        </w:rPr>
        <w:t>Комплексные услуги по получению разрешений на применение оборудования, выдаваемых Федеральной службой по Экологическому, Технологическому и Атомному надзору:</w:t>
      </w:r>
    </w:p>
    <w:p w:rsidR="00AC44DF" w:rsidRPr="00AC44DF" w:rsidRDefault="00AC44DF" w:rsidP="00AC44DF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</w:rPr>
      </w:pPr>
      <w:r w:rsidRPr="00AC44DF">
        <w:rPr>
          <w:rFonts w:ascii="Times New Roman" w:hAnsi="Times New Roman" w:cs="Times New Roman"/>
          <w:color w:val="575757"/>
        </w:rPr>
        <w:t>проведение экспертизы промышленной безопасности технического устройства;</w:t>
      </w:r>
      <w:r w:rsidRPr="00AC44DF">
        <w:rPr>
          <w:rFonts w:ascii="Times New Roman" w:hAnsi="Times New Roman" w:cs="Times New Roman"/>
          <w:color w:val="575757"/>
        </w:rPr>
        <w:tab/>
        <w:t xml:space="preserve">                              разработка и согласование методик проведения предварительных и приемочных испытаний;              разработка технической документации;  </w:t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  <w:t xml:space="preserve">                               сертификация оборудования;</w:t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  <w:t xml:space="preserve">                              разработка декларации соответствия;</w:t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  <w:t xml:space="preserve">                                      </w:t>
      </w:r>
      <w:r w:rsidRPr="00AC44DF">
        <w:rPr>
          <w:rFonts w:ascii="Times New Roman" w:hAnsi="Times New Roman" w:cs="Times New Roman"/>
          <w:color w:val="575757"/>
        </w:rPr>
        <w:tab/>
      </w:r>
      <w:r w:rsidRPr="00AC44DF">
        <w:rPr>
          <w:rFonts w:ascii="Times New Roman" w:hAnsi="Times New Roman" w:cs="Times New Roman"/>
          <w:color w:val="575757"/>
        </w:rPr>
        <w:tab/>
        <w:t xml:space="preserve">          разъяснения ВНИИС.</w:t>
      </w:r>
    </w:p>
    <w:p w:rsidR="00AC44DF" w:rsidRPr="00CB0F6F" w:rsidRDefault="00AC44DF" w:rsidP="00AC44DF">
      <w:pPr>
        <w:rPr>
          <w:color w:val="000000"/>
        </w:rPr>
      </w:pPr>
      <w:r w:rsidRPr="00CB0F6F">
        <w:rPr>
          <w:b/>
          <w:bCs/>
          <w:color w:val="000000"/>
        </w:rPr>
        <w:t>АТТЕСТАЦИЯ</w:t>
      </w:r>
    </w:p>
    <w:p w:rsidR="00AC44DF" w:rsidRDefault="00AC44DF" w:rsidP="00AC44DF">
      <w:pPr>
        <w:spacing w:before="100" w:beforeAutospacing="1" w:after="100" w:afterAutospacing="1"/>
        <w:ind w:left="720"/>
        <w:rPr>
          <w:color w:val="000000"/>
        </w:rPr>
      </w:pPr>
      <w:proofErr w:type="spellStart"/>
      <w:r w:rsidRPr="00CB0F6F">
        <w:rPr>
          <w:color w:val="000000"/>
        </w:rPr>
        <w:t>Предаттестационная</w:t>
      </w:r>
      <w:proofErr w:type="spellEnd"/>
      <w:r w:rsidRPr="00CB0F6F">
        <w:rPr>
          <w:color w:val="000000"/>
        </w:rPr>
        <w:t xml:space="preserve"> подготовка и аттестация по промышленной безопасности</w:t>
      </w:r>
      <w:r>
        <w:rPr>
          <w:color w:val="000000"/>
        </w:rPr>
        <w:t>.</w:t>
      </w:r>
      <w:r>
        <w:rPr>
          <w:color w:val="000000"/>
        </w:rPr>
        <w:tab/>
        <w:t xml:space="preserve">                              </w:t>
      </w:r>
      <w:r w:rsidRPr="00CB0F6F">
        <w:rPr>
          <w:color w:val="000000"/>
        </w:rPr>
        <w:t>Аттестация экспертов по промышленной безопасности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</w:t>
      </w:r>
      <w:r w:rsidRPr="00CB0F6F">
        <w:rPr>
          <w:color w:val="000000"/>
        </w:rPr>
        <w:t>Аттестация специалистов неразрушающего контроля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</w:t>
      </w:r>
      <w:proofErr w:type="gramStart"/>
      <w:r w:rsidRPr="00CB0F6F">
        <w:rPr>
          <w:color w:val="000000"/>
        </w:rPr>
        <w:t>Обучение по охране</w:t>
      </w:r>
      <w:proofErr w:type="gramEnd"/>
      <w:r w:rsidRPr="00CB0F6F">
        <w:rPr>
          <w:color w:val="000000"/>
        </w:rPr>
        <w:t xml:space="preserve"> труда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</w:t>
      </w:r>
      <w:r w:rsidRPr="00CB0F6F">
        <w:rPr>
          <w:color w:val="000000"/>
        </w:rPr>
        <w:lastRenderedPageBreak/>
        <w:t>Пожарно-технический минимум</w:t>
      </w:r>
      <w:r>
        <w:rPr>
          <w:color w:val="000000"/>
        </w:rPr>
        <w:tab/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</w:t>
      </w:r>
      <w:r w:rsidRPr="00CB0F6F">
        <w:rPr>
          <w:color w:val="000000"/>
        </w:rPr>
        <w:t>Обучение и аттестация обслуживающего персонала опасных производственных объектов</w:t>
      </w:r>
      <w:r>
        <w:rPr>
          <w:color w:val="000000"/>
        </w:rPr>
        <w:t xml:space="preserve">. </w:t>
      </w:r>
      <w:r w:rsidRPr="00CB0F6F">
        <w:rPr>
          <w:color w:val="000000"/>
        </w:rPr>
        <w:t>Повышение квалификации в области строительства, проектирования, инженерных изысканий</w:t>
      </w:r>
      <w:r>
        <w:rPr>
          <w:color w:val="000000"/>
        </w:rPr>
        <w:t xml:space="preserve">. </w:t>
      </w:r>
      <w:r w:rsidRPr="00CB0F6F">
        <w:rPr>
          <w:color w:val="000000"/>
        </w:rPr>
        <w:t xml:space="preserve">Обучение по </w:t>
      </w:r>
      <w:proofErr w:type="spellStart"/>
      <w:r w:rsidRPr="00CB0F6F">
        <w:rPr>
          <w:color w:val="000000"/>
        </w:rPr>
        <w:t>электробезопасности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</w:p>
    <w:p w:rsidR="00AC44DF" w:rsidRDefault="00AC44DF" w:rsidP="00AC44DF">
      <w:pPr>
        <w:spacing w:before="100" w:beforeAutospacing="1" w:after="100" w:afterAutospacing="1"/>
        <w:ind w:left="720"/>
        <w:rPr>
          <w:color w:val="000000"/>
        </w:rPr>
      </w:pPr>
      <w:r>
        <w:rPr>
          <w:color w:val="000000"/>
        </w:rPr>
        <w:t xml:space="preserve">  С</w:t>
      </w:r>
      <w:r w:rsidRPr="00FB4646">
        <w:rPr>
          <w:b/>
          <w:bCs/>
          <w:color w:val="000000"/>
        </w:rPr>
        <w:t>ЕРТИФИКАЦИЯ </w:t>
      </w:r>
      <w:r w:rsidRPr="00CB0F6F">
        <w:rPr>
          <w:color w:val="000000"/>
        </w:rPr>
        <w:t>(огромный опыт работы и квалификация наших специалистов позволяет проводить сертификацию в минимальные сроки):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 w:rsidRPr="00CB0F6F">
        <w:rPr>
          <w:color w:val="000000"/>
        </w:rPr>
        <w:t>сертификация оборудования на</w:t>
      </w:r>
      <w:r w:rsidR="009D60CD">
        <w:rPr>
          <w:color w:val="000000"/>
        </w:rPr>
        <w:t xml:space="preserve"> соответствие стандартам ГОСТ </w:t>
      </w:r>
      <w:proofErr w:type="gramStart"/>
      <w:r w:rsidR="009D60CD">
        <w:rPr>
          <w:color w:val="000000"/>
        </w:rPr>
        <w:t>Р</w:t>
      </w:r>
      <w:proofErr w:type="gramEnd"/>
      <w:r w:rsidRPr="00FB4646">
        <w:rPr>
          <w:color w:val="000000"/>
        </w:rPr>
        <w:tab/>
      </w:r>
      <w:r w:rsidRPr="00FB4646">
        <w:rPr>
          <w:color w:val="000000"/>
        </w:rPr>
        <w:tab/>
      </w:r>
      <w:r>
        <w:rPr>
          <w:color w:val="000000"/>
        </w:rPr>
        <w:t xml:space="preserve">                      </w:t>
      </w:r>
      <w:r w:rsidRPr="00FB4646">
        <w:rPr>
          <w:color w:val="000000"/>
        </w:rPr>
        <w:tab/>
        <w:t xml:space="preserve">              </w:t>
      </w:r>
      <w:r w:rsidRPr="00CB0F6F">
        <w:rPr>
          <w:color w:val="000000"/>
        </w:rPr>
        <w:t>сертификация взрывозащищенного электрооборудования;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r w:rsidRPr="00FB4646">
        <w:rPr>
          <w:color w:val="000000"/>
        </w:rPr>
        <w:tab/>
        <w:t xml:space="preserve">       </w:t>
      </w:r>
      <w:r w:rsidRPr="00CB0F6F">
        <w:rPr>
          <w:color w:val="000000"/>
        </w:rPr>
        <w:t>сертификация по стандартам ИСО 9001:2008;</w:t>
      </w:r>
      <w:r w:rsidRPr="00FB4646">
        <w:rPr>
          <w:color w:val="000000"/>
        </w:rPr>
        <w:tab/>
      </w:r>
      <w:r>
        <w:rPr>
          <w:color w:val="000000"/>
        </w:rPr>
        <w:t xml:space="preserve">            </w:t>
      </w:r>
      <w:r w:rsidRPr="00FB4646">
        <w:rPr>
          <w:color w:val="000000"/>
        </w:rPr>
        <w:t xml:space="preserve">                          </w:t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  <w:t xml:space="preserve">             </w:t>
      </w:r>
      <w:r w:rsidRPr="00CB0F6F">
        <w:rPr>
          <w:color w:val="000000"/>
        </w:rPr>
        <w:t>пожарная сертификация;</w:t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</w:r>
      <w:r w:rsidRPr="00FB4646">
        <w:rPr>
          <w:color w:val="000000"/>
        </w:rPr>
        <w:tab/>
        <w:t xml:space="preserve">                           </w:t>
      </w:r>
    </w:p>
    <w:p w:rsidR="00AC44DF" w:rsidRDefault="00AC44DF" w:rsidP="00AC44DF">
      <w:pPr>
        <w:spacing w:before="100" w:beforeAutospacing="1" w:after="100" w:afterAutospacing="1"/>
        <w:rPr>
          <w:color w:val="000000"/>
        </w:rPr>
      </w:pPr>
      <w:r w:rsidRPr="00CB0F6F">
        <w:rPr>
          <w:color w:val="000000"/>
        </w:rPr>
        <w:t xml:space="preserve">.По многим вопросам мы сотрудничаем со своими многолетними партнерами, </w:t>
      </w:r>
      <w:proofErr w:type="spellStart"/>
      <w:r w:rsidRPr="00CB0F6F">
        <w:rPr>
          <w:color w:val="000000"/>
        </w:rPr>
        <w:t>гос</w:t>
      </w:r>
      <w:proofErr w:type="gramStart"/>
      <w:r w:rsidRPr="00CB0F6F">
        <w:rPr>
          <w:color w:val="000000"/>
        </w:rPr>
        <w:t>.о</w:t>
      </w:r>
      <w:proofErr w:type="gramEnd"/>
      <w:r w:rsidRPr="00CB0F6F">
        <w:rPr>
          <w:color w:val="000000"/>
        </w:rPr>
        <w:t>рганами</w:t>
      </w:r>
      <w:proofErr w:type="spellEnd"/>
      <w:r w:rsidRPr="00CB0F6F">
        <w:rPr>
          <w:color w:val="000000"/>
        </w:rPr>
        <w:t>, предприятиями-лицензиатами и аттестационными центрами по всей территории РФ, имеющими большой опыт в данной сфере.</w:t>
      </w:r>
    </w:p>
    <w:p w:rsidR="009D60CD" w:rsidRPr="00ED153E" w:rsidRDefault="009D60CD" w:rsidP="009D60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8E6311">
        <w:rPr>
          <w:bCs/>
          <w:sz w:val="20"/>
          <w:szCs w:val="20"/>
        </w:rPr>
        <w:t>При коллективном обучении возможен выезд преподавателя в организацию. Оплата производится по безналичному расчету на основании заполненной заявки на обучение.</w:t>
      </w:r>
    </w:p>
    <w:p w:rsidR="008E6311" w:rsidRPr="009D60CD" w:rsidRDefault="00AC44DF" w:rsidP="009D60CD">
      <w:pPr>
        <w:rPr>
          <w:color w:val="000000"/>
        </w:rPr>
      </w:pPr>
      <w:r>
        <w:rPr>
          <w:b/>
          <w:bCs/>
          <w:i/>
          <w:iCs/>
          <w:color w:val="000000"/>
        </w:rPr>
        <w:t>Пр</w:t>
      </w:r>
      <w:r w:rsidRPr="00CB0F6F">
        <w:rPr>
          <w:b/>
          <w:bCs/>
          <w:i/>
          <w:iCs/>
          <w:color w:val="000000"/>
        </w:rPr>
        <w:t>и любом обращении готовы предоставить полную информацию и выслать Коммерческое предложение с указанием условий, сроков и стоимости услуг</w:t>
      </w:r>
      <w:proofErr w:type="gramStart"/>
      <w:r w:rsidRPr="00CB0F6F">
        <w:rPr>
          <w:b/>
          <w:bCs/>
          <w:i/>
          <w:iCs/>
          <w:color w:val="000000"/>
        </w:rPr>
        <w:t>.</w:t>
      </w:r>
      <w:r w:rsidR="008E6311" w:rsidRPr="008E6311">
        <w:rPr>
          <w:bCs/>
          <w:sz w:val="20"/>
          <w:szCs w:val="20"/>
        </w:rPr>
        <w:t>.</w:t>
      </w:r>
      <w:proofErr w:type="gramEnd"/>
    </w:p>
    <w:tbl>
      <w:tblPr>
        <w:tblpPr w:leftFromText="180" w:rightFromText="180" w:topFromText="100" w:bottomFromText="100" w:vertAnchor="text"/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6945"/>
        <w:gridCol w:w="1844"/>
      </w:tblGrid>
      <w:tr w:rsidR="00ED153E" w:rsidRPr="00ED153E" w:rsidTr="005906C2">
        <w:trPr>
          <w:trHeight w:val="564"/>
        </w:trPr>
        <w:tc>
          <w:tcPr>
            <w:tcW w:w="7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Стоимость, руб. (НДС не облагается)</w:t>
            </w:r>
          </w:p>
        </w:tc>
      </w:tr>
      <w:tr w:rsidR="00ED153E" w:rsidRPr="00ED153E" w:rsidTr="005906C2">
        <w:trPr>
          <w:trHeight w:val="562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ED153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подготовка руководителей и специалистов в области промышленной безопасности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Очно</w:t>
            </w:r>
            <w:proofErr w:type="spell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/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(Заочно)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Общие требования промышленной безопасности                               (А)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5000 (10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  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</w:t>
            </w:r>
            <w:r w:rsidR="005906C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(18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нефтяной и газовой промышленности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8 000 (18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rPr>
          <w:trHeight w:val="70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металлургической промышленности    (Б3)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</w:t>
            </w:r>
            <w:r w:rsidR="005906C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(18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горнорудной промышленности   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8 000 (18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угольной промышленности       (Б5)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</w:t>
            </w:r>
            <w:r w:rsidR="005906C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(18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по рациональному использованию и охране недр       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</w:t>
            </w:r>
            <w:r w:rsidR="005906C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(18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Требования промышленной безопасности систем </w:t>
            </w:r>
            <w:proofErr w:type="spell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и газораспределения  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8 000 (18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Требования промышленной безопасности к 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оборудованию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работающему под давлением     (Б8)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</w:t>
            </w:r>
            <w:r w:rsidR="005906C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(18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к грузоподъемным сооружениям (ГПМ)     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8 000 (18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Требования промышленной безопасности к грузоподъемным сооружениям (Лифты и </w:t>
            </w:r>
            <w:proofErr w:type="spell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экскалаторы</w:t>
            </w:r>
            <w:proofErr w:type="spell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       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</w:t>
            </w:r>
            <w:r w:rsidR="005906C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(18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при транспортировании опасных веществ         (Б10)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 000 (18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Требования промышленной безопасности на объектах хранения и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переработки растительного сырья  (Б11)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8</w:t>
            </w:r>
            <w:r w:rsidR="005906C2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(18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Требования промышленной безопасности при ведении взрывных работ      (Б12)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8 000 (18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rPr>
          <w:trHeight w:val="308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А+Б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5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13 000 (2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8 000)</w:t>
            </w:r>
          </w:p>
        </w:tc>
      </w:tr>
      <w:tr w:rsidR="00ED153E" w:rsidRPr="00ED153E" w:rsidTr="005906C2">
        <w:trPr>
          <w:trHeight w:val="30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53E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Общие требования промышленной безопасности                               (А)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5906C2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6 000 (25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000)</w:t>
            </w:r>
          </w:p>
        </w:tc>
      </w:tr>
      <w:tr w:rsidR="00ED153E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  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="00ED153E"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нефтяной и газовой промышленности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5906C2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="00ED153E"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металлургической промышленности    (Б3)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горнорудной промышленности   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в угольной промышленности       (Б5)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по рациональному использованию и охране недр       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Требования промышленной безопасности систем </w:t>
            </w:r>
            <w:proofErr w:type="spell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и газораспределения      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Требования промышленной безопасности к 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оборудованию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работающему под давлением     (Б8)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к грузоподъемным сооружениям (ГПМ)     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Требования промышленной безопасности к грузоподъемным сооружениям (Лифты и </w:t>
            </w:r>
            <w:proofErr w:type="spell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экскалаторы</w:t>
            </w:r>
            <w:proofErr w:type="spell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       (Б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при транспортировании опасных веществ         (Б10)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на объектах хранения и переработки растительного сырья  (Б11)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5906C2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промышленной безопасности при ведении взрывных работ      (Б12)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C2" w:rsidRDefault="005906C2">
            <w:r w:rsidRPr="0018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(25</w:t>
            </w: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rPr>
          <w:trHeight w:val="27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А+Б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5906C2">
            <w:pPr>
              <w:spacing w:after="0" w:line="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16 000 (5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0 000)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энергетической безопасности к электроустановкам потребителей       (Г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5 000 (15 000)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Требования энергетической безопасности к электрическим станциям и сетям    (Г3)                                                                                       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3 000 (2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Очередная проверка знаний с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II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,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III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IV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V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группой безопасности (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до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и выше 1000В)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7 000 (20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Проверка знаний электротехнического персонала на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II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гр. (до 1000В)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(15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Проверка знаний электротехнического персонала на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III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гр. (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до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и выше 1000В)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(23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Проверка знаний электротехнического персонала на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IV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гр. (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до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и выше 1000В)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(27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rPr>
          <w:trHeight w:val="604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Проверка знаний электротехнического персонала на 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val="en-US" w:eastAsia="ru-RU"/>
              </w:rPr>
              <w:t>V</w:t>
            </w: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гр. (</w:t>
            </w:r>
            <w:proofErr w:type="gramStart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до</w:t>
            </w:r>
            <w:proofErr w:type="gramEnd"/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и выше 1000В)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(30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Повышение квалификации по охране труда на предприятиях различных организационно-правовых форм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15 000 (2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0 000)</w:t>
            </w:r>
          </w:p>
        </w:tc>
      </w:tr>
      <w:tr w:rsidR="00ED153E" w:rsidRPr="00ED153E" w:rsidTr="005906C2">
        <w:trPr>
          <w:trHeight w:val="30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Охрана труда работников организации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 </w:t>
            </w:r>
            <w:r w:rsidR="00ED153E" w:rsidRPr="00ED153E">
              <w:rPr>
                <w:rFonts w:ascii="Times" w:eastAsia="Times New Roman" w:hAnsi="Times" w:cs="Times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(12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000)</w:t>
            </w:r>
          </w:p>
        </w:tc>
      </w:tr>
      <w:tr w:rsidR="00ED153E" w:rsidRPr="00ED153E" w:rsidTr="005906C2">
        <w:trPr>
          <w:trHeight w:val="264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Повышение квалификации по пожарной безопасности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15 000 (20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000)</w:t>
            </w:r>
          </w:p>
        </w:tc>
      </w:tr>
      <w:tr w:rsidR="00ED153E" w:rsidRPr="00ED153E" w:rsidTr="005906C2">
        <w:trPr>
          <w:trHeight w:val="264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Пожарно-технический минимум для руководителей и специалистов, ответственных за пожарную безопасность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59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3 000  (4 0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00)</w:t>
            </w:r>
          </w:p>
        </w:tc>
      </w:tr>
      <w:tr w:rsidR="00ED153E" w:rsidRPr="00ED153E" w:rsidTr="005906C2">
        <w:trPr>
          <w:trHeight w:val="69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Оказание экстренной доврачебной помощи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5906C2" w:rsidP="005906C2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  (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4 0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00)</w:t>
            </w:r>
          </w:p>
        </w:tc>
      </w:tr>
      <w:tr w:rsidR="00ED153E" w:rsidRPr="00ED153E" w:rsidTr="005906C2">
        <w:trPr>
          <w:trHeight w:val="21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Рабочие люльки, находящиеся на подъемнике (вышке)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8E6311" w:rsidP="00ED153E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7 000  (10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000)</w:t>
            </w:r>
          </w:p>
        </w:tc>
      </w:tr>
      <w:tr w:rsidR="00ED153E" w:rsidRPr="00ED153E" w:rsidTr="005906C2">
        <w:trPr>
          <w:trHeight w:val="21"/>
        </w:trPr>
        <w:tc>
          <w:tcPr>
            <w:tcW w:w="7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ED153E" w:rsidP="00ED153E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Организация безопасного ведения работ на высоте и верхолазных работ с применением и без применения методов промышленного альпинизма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3E" w:rsidRPr="00ED153E" w:rsidRDefault="008E6311" w:rsidP="008E6311">
            <w:pPr>
              <w:spacing w:after="0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10 000 (15 </w:t>
            </w:r>
            <w:r w:rsidR="00ED153E" w:rsidRPr="00ED153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000)</w:t>
            </w:r>
          </w:p>
        </w:tc>
      </w:tr>
    </w:tbl>
    <w:p w:rsidR="003D7F04" w:rsidRDefault="003D7F04"/>
    <w:sectPr w:rsidR="003D7F04" w:rsidSect="008E6311">
      <w:pgSz w:w="11906" w:h="16838"/>
      <w:pgMar w:top="567" w:right="567" w:bottom="82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53E"/>
    <w:rsid w:val="003D6D8A"/>
    <w:rsid w:val="003D7F04"/>
    <w:rsid w:val="003E7148"/>
    <w:rsid w:val="004F7B7C"/>
    <w:rsid w:val="005906C2"/>
    <w:rsid w:val="006A340E"/>
    <w:rsid w:val="008E6311"/>
    <w:rsid w:val="009D60CD"/>
    <w:rsid w:val="00A73DB1"/>
    <w:rsid w:val="00AC44DF"/>
    <w:rsid w:val="00ED153E"/>
    <w:rsid w:val="00E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53E"/>
    <w:rPr>
      <w:b/>
      <w:bCs/>
    </w:rPr>
  </w:style>
  <w:style w:type="character" w:styleId="a5">
    <w:name w:val="Hyperlink"/>
    <w:basedOn w:val="a0"/>
    <w:uiPriority w:val="99"/>
    <w:unhideWhenUsed/>
    <w:rsid w:val="008E6311"/>
    <w:rPr>
      <w:color w:val="0000FF" w:themeColor="hyperlink"/>
      <w:u w:val="single"/>
    </w:rPr>
  </w:style>
  <w:style w:type="character" w:customStyle="1" w:styleId="sdescr">
    <w:name w:val="sdescr"/>
    <w:basedOn w:val="a0"/>
    <w:rsid w:val="00AC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curyruscompany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cp:lastPrinted>2012-11-01T10:28:00Z</cp:lastPrinted>
  <dcterms:created xsi:type="dcterms:W3CDTF">2012-11-01T09:51:00Z</dcterms:created>
  <dcterms:modified xsi:type="dcterms:W3CDTF">2012-11-09T11:50:00Z</dcterms:modified>
</cp:coreProperties>
</file>